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D65" w:rsidRPr="009F7D65" w:rsidRDefault="009F7D65" w:rsidP="00BE63B1">
      <w:pPr>
        <w:jc w:val="both"/>
        <w:rPr>
          <w:rFonts w:ascii="Arial" w:hAnsi="Arial" w:cs="Arial"/>
          <w:color w:val="252525"/>
          <w:sz w:val="24"/>
          <w:szCs w:val="24"/>
          <w:shd w:val="clear" w:color="auto" w:fill="FFFFFF"/>
        </w:rPr>
      </w:pPr>
      <w:r w:rsidRPr="009F7D65">
        <w:rPr>
          <w:rFonts w:ascii="Arial" w:hAnsi="Arial" w:cs="Arial"/>
          <w:color w:val="252525"/>
          <w:sz w:val="24"/>
          <w:szCs w:val="24"/>
          <w:shd w:val="clear" w:color="auto" w:fill="FFFFFF"/>
        </w:rPr>
        <w:t>Приказом Департамента экономической политики и развития города Москвы от 17.12.2018 г. № 309-ТР «Об у</w:t>
      </w:r>
      <w:bookmarkStart w:id="0" w:name="_GoBack"/>
      <w:bookmarkEnd w:id="0"/>
      <w:r w:rsidRPr="009F7D65">
        <w:rPr>
          <w:rFonts w:ascii="Arial" w:hAnsi="Arial" w:cs="Arial"/>
          <w:color w:val="252525"/>
          <w:sz w:val="24"/>
          <w:szCs w:val="24"/>
          <w:shd w:val="clear" w:color="auto" w:fill="FFFFFF"/>
        </w:rPr>
        <w:t xml:space="preserve">становлении долгосрочных тарифов на питьевую воду (питьевое </w:t>
      </w:r>
      <w:r w:rsidRPr="009F7D65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водоснабжение</w:t>
      </w:r>
      <w:r w:rsidRPr="009F7D65">
        <w:rPr>
          <w:rFonts w:ascii="Arial" w:hAnsi="Arial" w:cs="Arial"/>
          <w:color w:val="252525"/>
          <w:sz w:val="24"/>
          <w:szCs w:val="24"/>
          <w:shd w:val="clear" w:color="auto" w:fill="FFFFFF"/>
        </w:rPr>
        <w:t>), техническую воду и водоотведение для акционерного общества «Мосводоканал» установлены тарифы на 2019 год.</w:t>
      </w:r>
    </w:p>
    <w:p w:rsidR="00BE63B1" w:rsidRPr="00FE2352" w:rsidRDefault="00BE63B1" w:rsidP="00BE63B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FE23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Указанная стоимость тарифов на второе полугодие является розничной, включает НДС, а за единицу измерения принят руб./</w:t>
      </w:r>
      <w:proofErr w:type="spellStart"/>
      <w:r w:rsidRPr="00FE23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куб.м</w:t>
      </w:r>
      <w:proofErr w:type="spellEnd"/>
      <w:r w:rsidRPr="00FE235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BE63B1" w:rsidRPr="00FE2352" w:rsidRDefault="00BE63B1" w:rsidP="00BE63B1">
      <w:p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E63B1" w:rsidRPr="00FE2352" w:rsidRDefault="00BE63B1" w:rsidP="00F871C5">
      <w:pPr>
        <w:pStyle w:val="1"/>
        <w:rPr>
          <w:rFonts w:eastAsia="Times New Roman"/>
          <w:lang w:eastAsia="ru-RU"/>
        </w:rPr>
      </w:pPr>
      <w:r w:rsidRPr="00FE2352">
        <w:rPr>
          <w:rFonts w:eastAsia="Times New Roman"/>
          <w:lang w:eastAsia="ru-RU"/>
        </w:rPr>
        <w:t xml:space="preserve">Тарифы на воду и </w:t>
      </w:r>
      <w:r w:rsidRPr="00F871C5">
        <w:t>водоотведение</w:t>
      </w:r>
      <w:r w:rsidRPr="00FE2352">
        <w:rPr>
          <w:rFonts w:eastAsia="Times New Roman"/>
          <w:lang w:eastAsia="ru-RU"/>
        </w:rPr>
        <w:t xml:space="preserve"> в Москве на 1 января 2019 года (за исключением Троицкого и </w:t>
      </w:r>
      <w:proofErr w:type="spellStart"/>
      <w:r w:rsidRPr="00FE2352">
        <w:rPr>
          <w:rFonts w:eastAsia="Times New Roman"/>
          <w:lang w:eastAsia="ru-RU"/>
        </w:rPr>
        <w:t>Новомосковского</w:t>
      </w:r>
      <w:proofErr w:type="spellEnd"/>
      <w:r w:rsidRPr="00FE2352">
        <w:rPr>
          <w:rFonts w:eastAsia="Times New Roman"/>
          <w:lang w:eastAsia="ru-RU"/>
        </w:rPr>
        <w:t xml:space="preserve"> округов)</w:t>
      </w:r>
    </w:p>
    <w:tbl>
      <w:tblPr>
        <w:tblW w:w="5768" w:type="pct"/>
        <w:tblInd w:w="-71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63"/>
        <w:gridCol w:w="1673"/>
        <w:gridCol w:w="1673"/>
        <w:gridCol w:w="1673"/>
        <w:gridCol w:w="2391"/>
      </w:tblGrid>
      <w:tr w:rsidR="00FE2352" w:rsidRPr="00FE2352" w:rsidTr="00F871C5">
        <w:tc>
          <w:tcPr>
            <w:tcW w:w="3364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Потребители</w:t>
            </w:r>
          </w:p>
        </w:tc>
        <w:tc>
          <w:tcPr>
            <w:tcW w:w="334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Тарифы на питьевую воду, руб./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64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Тарифы на водоотведение, руб./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E2352" w:rsidRPr="00FE2352" w:rsidTr="00F871C5">
        <w:tc>
          <w:tcPr>
            <w:tcW w:w="3364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1 полугодие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2 полугодие</w:t>
            </w:r>
          </w:p>
        </w:tc>
      </w:tr>
      <w:tr w:rsidR="00FE2352" w:rsidRPr="00FE2352" w:rsidTr="00F871C5">
        <w:tc>
          <w:tcPr>
            <w:tcW w:w="3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27,47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29,57</w:t>
            </w:r>
          </w:p>
        </w:tc>
      </w:tr>
      <w:tr w:rsidR="00FE2352" w:rsidRPr="00FE2352" w:rsidTr="00F871C5">
        <w:tc>
          <w:tcPr>
            <w:tcW w:w="3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Прочие потребители (без НДС)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22,89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24,64</w:t>
            </w:r>
          </w:p>
        </w:tc>
      </w:tr>
      <w:tr w:rsidR="00FE2352" w:rsidRPr="00FE2352" w:rsidTr="00F871C5">
        <w:tc>
          <w:tcPr>
            <w:tcW w:w="336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Организации водопроводно-канализационного хозяйства области, по местам исполнения обязательств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г.Москва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 (без НДС)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23,72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24,81</w:t>
            </w:r>
          </w:p>
        </w:tc>
        <w:tc>
          <w:tcPr>
            <w:tcW w:w="1673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19,84</w:t>
            </w:r>
          </w:p>
        </w:tc>
        <w:tc>
          <w:tcPr>
            <w:tcW w:w="239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20,75</w:t>
            </w:r>
          </w:p>
        </w:tc>
      </w:tr>
    </w:tbl>
    <w:p w:rsidR="00BE63B1" w:rsidRPr="00FE2352" w:rsidRDefault="00BE63B1" w:rsidP="00BE63B1">
      <w:pPr>
        <w:jc w:val="both"/>
        <w:rPr>
          <w:color w:val="000000" w:themeColor="text1"/>
          <w:sz w:val="24"/>
          <w:szCs w:val="24"/>
        </w:rPr>
      </w:pPr>
    </w:p>
    <w:p w:rsidR="00BE63B1" w:rsidRPr="00FE2352" w:rsidRDefault="00BE63B1" w:rsidP="00BE63B1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W w:w="10915" w:type="dxa"/>
        <w:tblInd w:w="-114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"/>
        <w:gridCol w:w="3261"/>
        <w:gridCol w:w="1985"/>
        <w:gridCol w:w="992"/>
        <w:gridCol w:w="1134"/>
        <w:gridCol w:w="1418"/>
        <w:gridCol w:w="1417"/>
      </w:tblGrid>
      <w:tr w:rsidR="00FE2352" w:rsidRPr="00FE2352" w:rsidTr="00FE2352">
        <w:trPr>
          <w:trHeight w:val="1800"/>
        </w:trPr>
        <w:tc>
          <w:tcPr>
            <w:tcW w:w="7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систем централизованного водоснабжения и водоотведения на территориях внутригородских муниципальных образований города Москвы</w:t>
            </w:r>
          </w:p>
        </w:tc>
        <w:tc>
          <w:tcPr>
            <w:tcW w:w="1985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потребителей</w:t>
            </w:r>
          </w:p>
        </w:tc>
        <w:tc>
          <w:tcPr>
            <w:tcW w:w="2126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Тарифы (руб./м</w:t>
            </w: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с 01.01.2019 по 30.06.2019</w:t>
            </w:r>
          </w:p>
        </w:tc>
        <w:tc>
          <w:tcPr>
            <w:tcW w:w="2835" w:type="dxa"/>
            <w:gridSpan w:val="2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300" w:line="240" w:lineRule="auto"/>
              <w:ind w:firstLine="150"/>
              <w:jc w:val="both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Тарифы (руб./м</w:t>
            </w: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vertAlign w:val="superscript"/>
                <w:lang w:eastAsia="ru-RU"/>
              </w:rPr>
              <w:t>3</w:t>
            </w: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)</w:t>
            </w: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br/>
              <w:t>с 01.07.2019 по 31.12.2019</w:t>
            </w:r>
          </w:p>
        </w:tc>
      </w:tr>
      <w:tr w:rsidR="00FE2352" w:rsidRPr="00FE2352" w:rsidTr="00FE2352">
        <w:trPr>
          <w:trHeight w:val="225"/>
        </w:trPr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Водоотведение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Питьевая вода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BE63B1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Водоотве-дение</w:t>
            </w:r>
            <w:proofErr w:type="spellEnd"/>
          </w:p>
        </w:tc>
      </w:tr>
      <w:tr w:rsidR="00FE2352" w:rsidRPr="00FE2352" w:rsidTr="00FE2352">
        <w:trPr>
          <w:trHeight w:val="360"/>
        </w:trPr>
        <w:tc>
          <w:tcPr>
            <w:tcW w:w="7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Городской округ Щербинка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22,97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27,89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26,48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29,57</w:t>
            </w:r>
          </w:p>
        </w:tc>
      </w:tr>
      <w:tr w:rsidR="00FE2352" w:rsidRPr="00FE2352" w:rsidTr="00FE2352">
        <w:trPr>
          <w:trHeight w:val="720"/>
        </w:trPr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19,14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23,24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22,07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24,64</w:t>
            </w:r>
          </w:p>
        </w:tc>
      </w:tr>
      <w:tr w:rsidR="00FE2352" w:rsidRPr="00FE2352" w:rsidTr="00FE2352">
        <w:trPr>
          <w:trHeight w:val="360"/>
        </w:trPr>
        <w:tc>
          <w:tcPr>
            <w:tcW w:w="7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Поселения Московский,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Внуковское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, Воскресенское,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Десеновское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Сосенское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Филимонковское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38,70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37,30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36,55</w:t>
            </w:r>
          </w:p>
        </w:tc>
      </w:tr>
      <w:tr w:rsidR="00FE2352" w:rsidRPr="00FE2352" w:rsidTr="00FE2352">
        <w:trPr>
          <w:trHeight w:val="720"/>
        </w:trPr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32,25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31,08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30,46</w:t>
            </w:r>
          </w:p>
        </w:tc>
      </w:tr>
      <w:tr w:rsidR="00FE2352" w:rsidRPr="00FE2352" w:rsidTr="00FE2352">
        <w:trPr>
          <w:trHeight w:val="360"/>
        </w:trPr>
        <w:tc>
          <w:tcPr>
            <w:tcW w:w="7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Щаповское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Кленовское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29,51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37,99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32,46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36,85</w:t>
            </w:r>
          </w:p>
        </w:tc>
      </w:tr>
      <w:tr w:rsidR="00FE2352" w:rsidRPr="00FE2352" w:rsidTr="00FE2352">
        <w:trPr>
          <w:trHeight w:val="735"/>
        </w:trPr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24,59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31,66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27,05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30,71</w:t>
            </w:r>
          </w:p>
        </w:tc>
      </w:tr>
      <w:tr w:rsidR="00FE2352" w:rsidRPr="00FE2352" w:rsidTr="00FE2352">
        <w:trPr>
          <w:trHeight w:val="360"/>
        </w:trPr>
        <w:tc>
          <w:tcPr>
            <w:tcW w:w="7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Поселения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Вороновское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Краснопахорское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 (за исключением поселка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Минзаг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Михайлово-Ярцевское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Роговское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24,12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39,38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27,54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38,21</w:t>
            </w:r>
          </w:p>
        </w:tc>
      </w:tr>
      <w:tr w:rsidR="00FE2352" w:rsidRPr="00FE2352" w:rsidTr="00FE2352">
        <w:trPr>
          <w:trHeight w:val="720"/>
        </w:trPr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20,10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32,82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22,95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31,84</w:t>
            </w:r>
          </w:p>
        </w:tc>
      </w:tr>
      <w:tr w:rsidR="00FE2352" w:rsidRPr="00FE2352" w:rsidTr="00FE2352">
        <w:trPr>
          <w:trHeight w:val="360"/>
        </w:trPr>
        <w:tc>
          <w:tcPr>
            <w:tcW w:w="7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Поселок подсобного хозяйства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Минзаг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lastRenderedPageBreak/>
              <w:t>Население (с НДС)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25,58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28,80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29,52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29,57</w:t>
            </w:r>
          </w:p>
        </w:tc>
      </w:tr>
      <w:tr w:rsidR="00FE2352" w:rsidRPr="00FE2352" w:rsidTr="00FE2352">
        <w:trPr>
          <w:trHeight w:val="720"/>
        </w:trPr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21,32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24,00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24,60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24,64</w:t>
            </w:r>
          </w:p>
        </w:tc>
      </w:tr>
      <w:tr w:rsidR="00FE2352" w:rsidRPr="00FE2352" w:rsidTr="00FE2352">
        <w:trPr>
          <w:trHeight w:val="360"/>
        </w:trPr>
        <w:tc>
          <w:tcPr>
            <w:tcW w:w="7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Рязановское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29,18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25,72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29,57</w:t>
            </w:r>
          </w:p>
        </w:tc>
      </w:tr>
      <w:tr w:rsidR="00FE2352" w:rsidRPr="00FE2352" w:rsidTr="00FE2352">
        <w:trPr>
          <w:trHeight w:val="720"/>
        </w:trPr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18,43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24,32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21,43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24,64</w:t>
            </w:r>
          </w:p>
        </w:tc>
      </w:tr>
      <w:tr w:rsidR="00FE2352" w:rsidRPr="00FE2352" w:rsidTr="00FE2352">
        <w:trPr>
          <w:trHeight w:val="360"/>
        </w:trPr>
        <w:tc>
          <w:tcPr>
            <w:tcW w:w="7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Городской округ Троицк</w:t>
            </w: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25,30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30,23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28,63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29,32</w:t>
            </w:r>
          </w:p>
        </w:tc>
      </w:tr>
      <w:tr w:rsidR="00FE2352" w:rsidRPr="00FE2352" w:rsidTr="00FE2352">
        <w:trPr>
          <w:trHeight w:val="725"/>
        </w:trPr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21,08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25,19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23,86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24,43</w:t>
            </w:r>
          </w:p>
        </w:tc>
      </w:tr>
      <w:tr w:rsidR="00FE2352" w:rsidRPr="00FE2352" w:rsidTr="00FE2352">
        <w:trPr>
          <w:trHeight w:val="360"/>
        </w:trPr>
        <w:tc>
          <w:tcPr>
            <w:tcW w:w="70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1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Поселения Киевский, Первомайское,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Новофедоровское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Кокошкино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Марушкинское</w:t>
            </w:r>
            <w:proofErr w:type="spellEnd"/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34,87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29,05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40,48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29,57</w:t>
            </w:r>
          </w:p>
        </w:tc>
      </w:tr>
      <w:tr w:rsidR="00FE2352" w:rsidRPr="00FE2352" w:rsidTr="00FE2352">
        <w:trPr>
          <w:trHeight w:val="720"/>
        </w:trPr>
        <w:tc>
          <w:tcPr>
            <w:tcW w:w="70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Прочие потребители**</w:t>
            </w:r>
          </w:p>
        </w:tc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29,06</w:t>
            </w:r>
          </w:p>
        </w:tc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24,21</w:t>
            </w:r>
          </w:p>
        </w:tc>
        <w:tc>
          <w:tcPr>
            <w:tcW w:w="141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33,73</w:t>
            </w:r>
          </w:p>
        </w:tc>
        <w:tc>
          <w:tcPr>
            <w:tcW w:w="141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24,64</w:t>
            </w:r>
          </w:p>
        </w:tc>
      </w:tr>
    </w:tbl>
    <w:p w:rsidR="00BE63B1" w:rsidRPr="00BE63B1" w:rsidRDefault="00BE63B1" w:rsidP="00BE63B1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6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* — Приказ Департамента экономической политики и развития города Москвы вступил в действие с 1 января 2019 года.</w:t>
      </w:r>
    </w:p>
    <w:p w:rsidR="00BE63B1" w:rsidRPr="00BE63B1" w:rsidRDefault="00BE63B1" w:rsidP="00BE63B1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6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** — в тарифы не включен налог на добавленную стоимость</w:t>
      </w:r>
    </w:p>
    <w:p w:rsidR="00BE63B1" w:rsidRPr="00FE2352" w:rsidRDefault="00BE63B1" w:rsidP="00FE2352">
      <w:pPr>
        <w:pStyle w:val="1"/>
        <w:rPr>
          <w:rFonts w:eastAsia="Times New Roman"/>
          <w:lang w:eastAsia="ru-RU"/>
        </w:rPr>
      </w:pPr>
      <w:r w:rsidRPr="00FE2352">
        <w:rPr>
          <w:rFonts w:eastAsia="Times New Roman"/>
          <w:lang w:eastAsia="ru-RU"/>
        </w:rPr>
        <w:t xml:space="preserve">Тарифы на горячую воду </w:t>
      </w:r>
      <w:r w:rsidRPr="00FE2352">
        <w:t>на</w:t>
      </w:r>
      <w:r w:rsidRPr="00FE2352">
        <w:rPr>
          <w:rFonts w:eastAsia="Times New Roman"/>
          <w:lang w:eastAsia="ru-RU"/>
        </w:rPr>
        <w:t xml:space="preserve"> территории города Москвы, за исключением </w:t>
      </w:r>
      <w:r w:rsidRPr="00FE2352">
        <w:t>Троицкого</w:t>
      </w:r>
      <w:r w:rsidRPr="00FE2352">
        <w:rPr>
          <w:rFonts w:eastAsia="Times New Roman"/>
          <w:lang w:eastAsia="ru-RU"/>
        </w:rPr>
        <w:t xml:space="preserve"> и </w:t>
      </w:r>
      <w:proofErr w:type="spellStart"/>
      <w:r w:rsidRPr="00FE2352">
        <w:rPr>
          <w:rFonts w:eastAsia="Times New Roman"/>
          <w:lang w:eastAsia="ru-RU"/>
        </w:rPr>
        <w:t>Новомосковского</w:t>
      </w:r>
      <w:proofErr w:type="spellEnd"/>
      <w:r w:rsidRPr="00FE2352">
        <w:rPr>
          <w:rFonts w:eastAsia="Times New Roman"/>
          <w:lang w:eastAsia="ru-RU"/>
        </w:rPr>
        <w:t xml:space="preserve"> административных округов города</w:t>
      </w:r>
    </w:p>
    <w:tbl>
      <w:tblPr>
        <w:tblW w:w="5611" w:type="pct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4"/>
        <w:gridCol w:w="6401"/>
        <w:gridCol w:w="2945"/>
      </w:tblGrid>
      <w:tr w:rsidR="00FE2352" w:rsidRPr="00FE2352" w:rsidTr="00F871C5">
        <w:trPr>
          <w:tblHeader/>
        </w:trPr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235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235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235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Тарифы на горячую воду с учетом НДС (рублей/куб. м)</w:t>
            </w:r>
          </w:p>
        </w:tc>
      </w:tr>
      <w:tr w:rsidR="00FE2352" w:rsidRPr="00FE2352" w:rsidTr="00F871C5">
        <w:tc>
          <w:tcPr>
            <w:tcW w:w="113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01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Публичное акционерное общество «Московская объединенная энергетическая компания», </w:t>
            </w: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lastRenderedPageBreak/>
              <w:t>дочерние и зависимые от указанной организации общества</w:t>
            </w:r>
          </w:p>
        </w:tc>
        <w:tc>
          <w:tcPr>
            <w:tcW w:w="294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lastRenderedPageBreak/>
              <w:t>188,53</w:t>
            </w:r>
          </w:p>
        </w:tc>
      </w:tr>
    </w:tbl>
    <w:p w:rsidR="00BE63B1" w:rsidRPr="00FE2352" w:rsidRDefault="00BE63B1" w:rsidP="00FE2352">
      <w:pPr>
        <w:pStyle w:val="1"/>
      </w:pPr>
      <w:r w:rsidRPr="00FE2352">
        <w:rPr>
          <w:rFonts w:eastAsia="Times New Roman"/>
          <w:lang w:eastAsia="ru-RU"/>
        </w:rPr>
        <w:lastRenderedPageBreak/>
        <w:t xml:space="preserve">Тарифы на тепловую </w:t>
      </w:r>
      <w:r w:rsidRPr="00FE2352">
        <w:t>энергию</w:t>
      </w:r>
      <w:r w:rsidRPr="00FE2352">
        <w:rPr>
          <w:rFonts w:eastAsia="Times New Roman"/>
          <w:lang w:eastAsia="ru-RU"/>
        </w:rPr>
        <w:t xml:space="preserve"> для населения </w:t>
      </w:r>
      <w:proofErr w:type="spellStart"/>
      <w:r w:rsidRPr="00FE2352">
        <w:rPr>
          <w:rFonts w:eastAsia="Times New Roman"/>
          <w:lang w:eastAsia="ru-RU"/>
        </w:rPr>
        <w:t>г.Москвы</w:t>
      </w:r>
      <w:proofErr w:type="spellEnd"/>
      <w:r w:rsidRPr="00FE2352">
        <w:rPr>
          <w:rFonts w:eastAsia="Times New Roman"/>
          <w:lang w:eastAsia="ru-RU"/>
        </w:rPr>
        <w:t xml:space="preserve">, за исключением Троицкого и </w:t>
      </w:r>
      <w:proofErr w:type="spellStart"/>
      <w:r w:rsidRPr="00FE2352">
        <w:rPr>
          <w:rFonts w:eastAsia="Times New Roman"/>
          <w:lang w:eastAsia="ru-RU"/>
        </w:rPr>
        <w:t>новомосковского</w:t>
      </w:r>
      <w:proofErr w:type="spellEnd"/>
      <w:r w:rsidRPr="00FE2352">
        <w:rPr>
          <w:rFonts w:eastAsia="Times New Roman"/>
          <w:lang w:eastAsia="ru-RU"/>
        </w:rPr>
        <w:t xml:space="preserve"> административных округов </w:t>
      </w:r>
      <w:proofErr w:type="spellStart"/>
      <w:r w:rsidRPr="00FE2352">
        <w:rPr>
          <w:rFonts w:eastAsia="Times New Roman"/>
          <w:lang w:eastAsia="ru-RU"/>
        </w:rPr>
        <w:t>г.Москвы</w:t>
      </w:r>
      <w:proofErr w:type="spellEnd"/>
    </w:p>
    <w:tbl>
      <w:tblPr>
        <w:tblW w:w="5768" w:type="pct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"/>
        <w:gridCol w:w="7514"/>
        <w:gridCol w:w="2409"/>
      </w:tblGrid>
      <w:tr w:rsidR="00FE2352" w:rsidRPr="00FE2352" w:rsidTr="00F871C5">
        <w:trPr>
          <w:tblHeader/>
        </w:trPr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235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235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235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Тарифы на тепловую энергию для населения города Москвы с учетом НДС (рублей/Гкал)</w:t>
            </w:r>
          </w:p>
        </w:tc>
      </w:tr>
      <w:tr w:rsidR="00FE2352" w:rsidRPr="00FE2352" w:rsidTr="00F871C5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Публичное акционерное общество энергетики и электрификации «Мосэнерго» — тариф 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1773,19</w:t>
            </w:r>
          </w:p>
        </w:tc>
      </w:tr>
      <w:tr w:rsidR="00FE2352" w:rsidRPr="00FE2352" w:rsidTr="00F871C5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Публичное акционерное общество «Московская объединенная энергетическая компания», дочерние и зависимые от указанной организации общества — тариф для потребителей, подключенных к тепловой сети без дополнительного преобразования на тепловых пунктах, эксплуатируемой теплоснабжающей организацией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1806,89</w:t>
            </w:r>
          </w:p>
        </w:tc>
      </w:tr>
      <w:tr w:rsidR="00FE2352" w:rsidRPr="00FE2352" w:rsidTr="00F871C5">
        <w:tc>
          <w:tcPr>
            <w:tcW w:w="8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751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Публичное акционерное общество «Московская объединенная энергетическая компания», дочерние и зависимые от указанной организации общества — тариф для потребителей, подключенных к тепловой сети после тепловых пунктов (на тепловых пунктах), эксплуатируемых теплоснабжающей организацией</w:t>
            </w:r>
          </w:p>
        </w:tc>
        <w:tc>
          <w:tcPr>
            <w:tcW w:w="2409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2279,95</w:t>
            </w:r>
          </w:p>
        </w:tc>
      </w:tr>
    </w:tbl>
    <w:p w:rsidR="00F871C5" w:rsidRPr="00FE2352" w:rsidRDefault="00F871C5" w:rsidP="00FE2352">
      <w:pPr>
        <w:rPr>
          <w:lang w:eastAsia="ru-RU"/>
        </w:rPr>
      </w:pPr>
    </w:p>
    <w:p w:rsidR="00BE63B1" w:rsidRPr="00FE2352" w:rsidRDefault="00BE63B1" w:rsidP="00FE2352">
      <w:pPr>
        <w:pStyle w:val="1"/>
        <w:rPr>
          <w:rFonts w:eastAsia="Times New Roman"/>
          <w:lang w:eastAsia="ru-RU"/>
        </w:rPr>
      </w:pPr>
      <w:r w:rsidRPr="00FE2352">
        <w:rPr>
          <w:rFonts w:eastAsia="Times New Roman"/>
          <w:lang w:eastAsia="ru-RU"/>
        </w:rPr>
        <w:t xml:space="preserve">Тарифы на горячую воду в </w:t>
      </w:r>
      <w:r w:rsidRPr="00FE2352">
        <w:t>Троицком</w:t>
      </w:r>
      <w:r w:rsidRPr="00FE2352">
        <w:rPr>
          <w:rFonts w:eastAsia="Times New Roman"/>
          <w:lang w:eastAsia="ru-RU"/>
        </w:rPr>
        <w:t xml:space="preserve"> и Новомосковском округах</w:t>
      </w:r>
    </w:p>
    <w:tbl>
      <w:tblPr>
        <w:tblW w:w="10915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28"/>
        <w:gridCol w:w="5687"/>
      </w:tblGrid>
      <w:tr w:rsidR="00FE2352" w:rsidRPr="00FE2352" w:rsidTr="00F871C5">
        <w:tc>
          <w:tcPr>
            <w:tcW w:w="5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235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системы централизованного горячего водоснабжения</w:t>
            </w:r>
          </w:p>
        </w:tc>
        <w:tc>
          <w:tcPr>
            <w:tcW w:w="5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FE235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Тарифы для населения, руб./</w:t>
            </w:r>
            <w:proofErr w:type="spellStart"/>
            <w:r w:rsidRPr="00FE235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куб.м</w:t>
            </w:r>
            <w:proofErr w:type="spellEnd"/>
            <w:r w:rsidRPr="00FE2352">
              <w:rPr>
                <w:rFonts w:ascii="Lucida Sans Unicode" w:eastAsia="Times New Roman" w:hAnsi="Lucida Sans Unicode" w:cs="Lucida Sans Unicode"/>
                <w:b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FE2352" w:rsidRPr="00FE2352" w:rsidTr="00F871C5">
        <w:trPr>
          <w:trHeight w:val="1237"/>
        </w:trPr>
        <w:tc>
          <w:tcPr>
            <w:tcW w:w="5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» (д.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Мамыри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115,03</w:t>
            </w:r>
          </w:p>
        </w:tc>
      </w:tr>
      <w:tr w:rsidR="00FE2352" w:rsidRPr="00FE2352" w:rsidTr="00F871C5">
        <w:tc>
          <w:tcPr>
            <w:tcW w:w="5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Поселение «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» (поселок завода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Мосрентген</w:t>
            </w:r>
            <w:proofErr w:type="spellEnd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115,03</w:t>
            </w:r>
          </w:p>
        </w:tc>
      </w:tr>
      <w:tr w:rsidR="00FE2352" w:rsidRPr="00FE2352" w:rsidTr="00F871C5">
        <w:tc>
          <w:tcPr>
            <w:tcW w:w="5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Щаповское</w:t>
            </w:r>
            <w:proofErr w:type="spellEnd"/>
          </w:p>
        </w:tc>
        <w:tc>
          <w:tcPr>
            <w:tcW w:w="5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147,00</w:t>
            </w:r>
          </w:p>
        </w:tc>
      </w:tr>
      <w:tr w:rsidR="00FE2352" w:rsidRPr="00FE2352" w:rsidTr="00F871C5">
        <w:tc>
          <w:tcPr>
            <w:tcW w:w="5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Поселение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Краснопахорское</w:t>
            </w:r>
            <w:proofErr w:type="spellEnd"/>
          </w:p>
        </w:tc>
        <w:tc>
          <w:tcPr>
            <w:tcW w:w="5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134,29</w:t>
            </w:r>
          </w:p>
        </w:tc>
      </w:tr>
      <w:tr w:rsidR="00FE2352" w:rsidRPr="00FE2352" w:rsidTr="00F871C5">
        <w:tc>
          <w:tcPr>
            <w:tcW w:w="5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Поселение Первомайское</w:t>
            </w:r>
          </w:p>
        </w:tc>
        <w:tc>
          <w:tcPr>
            <w:tcW w:w="5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185,98</w:t>
            </w:r>
          </w:p>
        </w:tc>
      </w:tr>
      <w:tr w:rsidR="00FE2352" w:rsidRPr="00FE2352" w:rsidTr="00F871C5">
        <w:tc>
          <w:tcPr>
            <w:tcW w:w="522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 xml:space="preserve">Поселение </w:t>
            </w:r>
            <w:proofErr w:type="spellStart"/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Десеновское</w:t>
            </w:r>
            <w:proofErr w:type="spellEnd"/>
          </w:p>
        </w:tc>
        <w:tc>
          <w:tcPr>
            <w:tcW w:w="568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151,19</w:t>
            </w:r>
          </w:p>
        </w:tc>
      </w:tr>
    </w:tbl>
    <w:p w:rsidR="00BE63B1" w:rsidRPr="00BE63B1" w:rsidRDefault="00BE63B1" w:rsidP="00BE63B1">
      <w:pPr>
        <w:shd w:val="clear" w:color="auto" w:fill="FFFFFF"/>
        <w:spacing w:after="300" w:line="240" w:lineRule="auto"/>
        <w:ind w:firstLine="150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BE6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МУП «</w:t>
      </w:r>
      <w:proofErr w:type="spellStart"/>
      <w:r w:rsidRPr="00BE6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Троицктеплоэнерго</w:t>
      </w:r>
      <w:proofErr w:type="spellEnd"/>
      <w:r w:rsidRPr="00BE63B1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 потребителям использованием закрытых систем горячего водоснабжения</w:t>
      </w:r>
    </w:p>
    <w:tbl>
      <w:tblPr>
        <w:tblW w:w="10915" w:type="dxa"/>
        <w:tblInd w:w="-114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2"/>
        <w:gridCol w:w="2797"/>
        <w:gridCol w:w="7126"/>
      </w:tblGrid>
      <w:tr w:rsidR="00FE2352" w:rsidRPr="00FE2352" w:rsidTr="00753E1E"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№</w:t>
            </w: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2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Группа потребителей</w:t>
            </w:r>
          </w:p>
        </w:tc>
        <w:tc>
          <w:tcPr>
            <w:tcW w:w="7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Тарифы (руб./куб. м)</w:t>
            </w:r>
          </w:p>
        </w:tc>
      </w:tr>
      <w:tr w:rsidR="00FE2352" w:rsidRPr="00FE2352" w:rsidTr="00753E1E"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Население (с НДС)</w:t>
            </w:r>
          </w:p>
        </w:tc>
        <w:tc>
          <w:tcPr>
            <w:tcW w:w="7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113,83</w:t>
            </w:r>
          </w:p>
        </w:tc>
      </w:tr>
      <w:tr w:rsidR="00FE2352" w:rsidRPr="00FE2352" w:rsidTr="00753E1E">
        <w:tc>
          <w:tcPr>
            <w:tcW w:w="992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797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Прочие потребители*</w:t>
            </w:r>
          </w:p>
        </w:tc>
        <w:tc>
          <w:tcPr>
            <w:tcW w:w="7126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E63B1" w:rsidRPr="00BE63B1" w:rsidRDefault="00BE63B1" w:rsidP="00BE63B1">
            <w:pPr>
              <w:spacing w:before="300" w:after="300" w:line="240" w:lineRule="auto"/>
              <w:jc w:val="center"/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</w:pPr>
            <w:r w:rsidRPr="00BE63B1">
              <w:rPr>
                <w:rFonts w:ascii="Lucida Sans Unicode" w:eastAsia="Times New Roman" w:hAnsi="Lucida Sans Unicode" w:cs="Lucida Sans Unicode"/>
                <w:color w:val="000000" w:themeColor="text1"/>
                <w:sz w:val="24"/>
                <w:szCs w:val="24"/>
                <w:lang w:eastAsia="ru-RU"/>
              </w:rPr>
              <w:t>—</w:t>
            </w:r>
          </w:p>
        </w:tc>
      </w:tr>
    </w:tbl>
    <w:p w:rsidR="00BE63B1" w:rsidRPr="00FE2352" w:rsidRDefault="00BE63B1" w:rsidP="00BE63B1">
      <w:pPr>
        <w:rPr>
          <w:color w:val="000000" w:themeColor="text1"/>
          <w:sz w:val="24"/>
          <w:szCs w:val="24"/>
        </w:rPr>
      </w:pPr>
    </w:p>
    <w:p w:rsidR="00080BDA" w:rsidRPr="00FE2352" w:rsidRDefault="00080BDA">
      <w:pPr>
        <w:rPr>
          <w:color w:val="000000" w:themeColor="text1"/>
          <w:sz w:val="24"/>
          <w:szCs w:val="24"/>
        </w:rPr>
      </w:pPr>
    </w:p>
    <w:sectPr w:rsidR="00080BDA" w:rsidRPr="00FE23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56A"/>
    <w:rsid w:val="00080BDA"/>
    <w:rsid w:val="0016156A"/>
    <w:rsid w:val="00753E1E"/>
    <w:rsid w:val="009F7D65"/>
    <w:rsid w:val="00BE63B1"/>
    <w:rsid w:val="00F871C5"/>
    <w:rsid w:val="00FE2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5DDC11"/>
  <w15:chartTrackingRefBased/>
  <w15:docId w15:val="{129F049E-F65C-43B4-938C-2854214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3B1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FE23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  <w:style w:type="paragraph" w:styleId="2">
    <w:name w:val="heading 2"/>
    <w:basedOn w:val="a"/>
    <w:link w:val="20"/>
    <w:uiPriority w:val="9"/>
    <w:qFormat/>
    <w:rsid w:val="00BE63B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E63B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E6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3B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FE2352"/>
    <w:rPr>
      <w:rFonts w:asciiTheme="majorHAnsi" w:eastAsiaTheme="majorEastAsia" w:hAnsiTheme="majorHAnsi" w:cstheme="majorBidi"/>
      <w:b/>
      <w:color w:val="000000" w:themeColor="text1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3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6</Pages>
  <Words>684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2019-05-19T14:31:00Z</dcterms:created>
  <dcterms:modified xsi:type="dcterms:W3CDTF">2019-05-19T14:45:00Z</dcterms:modified>
</cp:coreProperties>
</file>